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36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36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Yellin Jonathan D</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CRA INTERNATIONAL,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76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88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05/19/2026</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EVP AND GENERAL COUNSEL</w:t>
      </w:r>
    </w:p>
    <w:p>
      <w:pPr>
        <w:spacing w:after="0" w:line="336" w:lineRule="exact"/>
        <w:rPr>
          <w:sz w:val="20"/>
          <w:szCs w:val="20"/>
          <w:color w:val="auto"/>
        </w:rPr>
      </w:pPr>
    </w:p>
    <w:p>
      <w:pPr>
        <w:sectPr>
          <w:pgSz w:w="11900" w:h="16838" w:orient="portrait"/>
          <w:cols w:equalWidth="0" w:num="2">
            <w:col w:w="7660" w:space="75"/>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390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900" w:type="dxa"/>
            <w:vAlign w:val="bottom"/>
            <w:gridSpan w:val="6"/>
            <w:vMerge w:val="continue"/>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auto"/>
              </w:rPr>
              <w:t>Line)</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02116</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0" w:type="dxa"/>
            <w:vAlign w:val="bottom"/>
            <w:gridSpan w:val="4"/>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0" w:type="dxa"/>
            <w:vAlign w:val="bottom"/>
            <w:gridSpan w:val="4"/>
          </w:tcPr>
          <w:p>
            <w:pPr>
              <w:ind w:left="8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0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ind w:left="8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460" w:type="dxa"/>
            <w:vAlign w:val="bottom"/>
            <w:tcBorders>
              <w:bottom w:val="single" w:sz="8" w:color="2C2C2C"/>
            </w:tcBorders>
            <w:gridSpan w:val="8"/>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0" w:type="dxa"/>
            <w:vAlign w:val="bottom"/>
            <w:gridSpan w:val="2"/>
          </w:tcPr>
          <w:p>
            <w:pPr>
              <w:ind w:left="9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520" w:type="dxa"/>
            <w:vAlign w:val="bottom"/>
          </w:tcPr>
          <w:p>
            <w:pPr>
              <w:spacing w:after="0"/>
              <w:rPr>
                <w:sz w:val="15"/>
                <w:szCs w:val="15"/>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0" w:type="dxa"/>
            <w:vAlign w:val="bottom"/>
            <w:gridSpan w:val="2"/>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4"/>
          </w:tcPr>
          <w:p>
            <w:pPr>
              <w:jc w:val="center"/>
              <w:ind w:right="173"/>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0" w:type="dxa"/>
            <w:vAlign w:val="bottom"/>
            <w:gridSpan w:val="2"/>
          </w:tcPr>
          <w:p>
            <w:pPr>
              <w:jc w:val="center"/>
              <w:ind w:left="82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5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5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gridSpan w:val="2"/>
          </w:tcPr>
          <w:p>
            <w:pPr>
              <w:jc w:val="center"/>
              <w:ind w:left="824"/>
              <w:spacing w:after="0"/>
              <w:rPr>
                <w:sz w:val="20"/>
                <w:szCs w:val="20"/>
                <w:color w:val="auto"/>
              </w:rPr>
            </w:pPr>
            <w:r>
              <w:rPr>
                <w:rFonts w:ascii="Times New Roman" w:cs="Times New Roman" w:eastAsia="Times New Roman" w:hAnsi="Times New Roman"/>
                <w:sz w:val="17"/>
                <w:szCs w:val="17"/>
                <w:color w:val="0000FF"/>
              </w:rPr>
              <w:t>05/19/2026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146.3663</w:t>
            </w:r>
            <w:r>
              <w:rPr>
                <w:rFonts w:ascii="Times New Roman" w:cs="Times New Roman" w:eastAsia="Times New Roman" w:hAnsi="Times New Roman"/>
                <w:sz w:val="22"/>
                <w:szCs w:val="22"/>
                <w:color w:val="008000"/>
                <w:w w:val="95"/>
                <w:vertAlign w:val="superscript"/>
              </w:rPr>
              <w:t>(1)</w:t>
            </w:r>
          </w:p>
        </w:tc>
        <w:tc>
          <w:tcPr>
            <w:tcW w:w="10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15,247</w:t>
            </w:r>
          </w:p>
        </w:tc>
        <w:tc>
          <w:tcPr>
            <w:tcW w:w="980" w:type="dxa"/>
            <w:vAlign w:val="bottom"/>
            <w:tcBorders>
              <w:bottom w:val="single" w:sz="8" w:color="2C2C2C"/>
            </w:tcBorders>
          </w:tcPr>
          <w:p>
            <w:pPr>
              <w:ind w:left="40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gridSpan w:val="2"/>
          </w:tcPr>
          <w:p>
            <w:pPr>
              <w:jc w:val="center"/>
              <w:ind w:left="824"/>
              <w:spacing w:after="0"/>
              <w:rPr>
                <w:sz w:val="20"/>
                <w:szCs w:val="20"/>
                <w:color w:val="auto"/>
              </w:rPr>
            </w:pPr>
            <w:r>
              <w:rPr>
                <w:rFonts w:ascii="Times New Roman" w:cs="Times New Roman" w:eastAsia="Times New Roman" w:hAnsi="Times New Roman"/>
                <w:sz w:val="17"/>
                <w:szCs w:val="17"/>
                <w:color w:val="0000FF"/>
              </w:rPr>
              <w:t>05/19/2026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147.445</w:t>
            </w:r>
            <w:r>
              <w:rPr>
                <w:rFonts w:ascii="Times New Roman" w:cs="Times New Roman" w:eastAsia="Times New Roman" w:hAnsi="Times New Roman"/>
                <w:sz w:val="22"/>
                <w:szCs w:val="22"/>
                <w:color w:val="008000"/>
                <w:w w:val="95"/>
                <w:vertAlign w:val="superscript"/>
              </w:rPr>
              <w:t>(3)</w:t>
            </w:r>
          </w:p>
        </w:tc>
        <w:tc>
          <w:tcPr>
            <w:tcW w:w="10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14,847</w:t>
            </w:r>
          </w:p>
        </w:tc>
        <w:tc>
          <w:tcPr>
            <w:tcW w:w="980" w:type="dxa"/>
            <w:vAlign w:val="bottom"/>
            <w:tcBorders>
              <w:bottom w:val="single" w:sz="8" w:color="2C2C2C"/>
            </w:tcBorders>
          </w:tcPr>
          <w:p>
            <w:pPr>
              <w:ind w:left="40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gridSpan w:val="2"/>
          </w:tcPr>
          <w:p>
            <w:pPr>
              <w:jc w:val="center"/>
              <w:ind w:left="824"/>
              <w:spacing w:after="0"/>
              <w:rPr>
                <w:sz w:val="20"/>
                <w:szCs w:val="20"/>
                <w:color w:val="auto"/>
              </w:rPr>
            </w:pPr>
            <w:r>
              <w:rPr>
                <w:rFonts w:ascii="Times New Roman" w:cs="Times New Roman" w:eastAsia="Times New Roman" w:hAnsi="Times New Roman"/>
                <w:sz w:val="17"/>
                <w:szCs w:val="17"/>
                <w:color w:val="0000FF"/>
              </w:rPr>
              <w:t>05/19/2026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148</w:t>
            </w:r>
          </w:p>
        </w:tc>
        <w:tc>
          <w:tcPr>
            <w:tcW w:w="10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13,247</w:t>
            </w:r>
          </w:p>
        </w:tc>
        <w:tc>
          <w:tcPr>
            <w:tcW w:w="980" w:type="dxa"/>
            <w:vAlign w:val="bottom"/>
            <w:tcBorders>
              <w:bottom w:val="single" w:sz="8" w:color="2C2C2C"/>
            </w:tcBorders>
          </w:tcPr>
          <w:p>
            <w:pPr>
              <w:ind w:left="40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 shares were sold in multiple transactions at prices ranging from $145.87 to $146.46,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pursuant to a Rule 10b5-1 trading plan adopted by the reporting person on November 10, 2025.</w:t>
      </w:r>
    </w:p>
    <w:p>
      <w:pPr>
        <w:spacing w:after="0" w:line="50"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 shares were sold in multiple transactions at prices ranging from $147.00 to $147.78,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Delia J. Makhlouta, by power</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01764" TargetMode="External"/><Relationship Id="rId14" Type="http://schemas.openxmlformats.org/officeDocument/2006/relationships/hyperlink" Target="http://www.sec.gov/cgi-bin/browse-edgar?action=getcompany&amp;CIK=00010537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2026-05-20T16:54:18Z</dcterms:created>
  <dcterms:modified xsi:type="dcterms:W3CDTF">2026-05-20T16:54:18Z</dcterms:modified>
</cp:coreProperties>
</file>